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1447800" cy="120523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7800" cy="12052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JOC Policy Committee Meeting Minutes</w:t>
      </w:r>
    </w:p>
    <w:p w:rsidR="00000000" w:rsidDel="00000000" w:rsidP="00000000" w:rsidRDefault="00000000" w:rsidRPr="00000000" w14:paraId="00000004">
      <w:pPr>
        <w:rPr/>
      </w:pPr>
      <w:r w:rsidDel="00000000" w:rsidR="00000000" w:rsidRPr="00000000">
        <w:rPr>
          <w:rtl w:val="0"/>
        </w:rPr>
        <w:t xml:space="preserve">April 29,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Present:  Dave Livengood, Craig Robinson, Sarah Bieber, Patti Grimm, and Wendy Sigourney</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Absentees:   Heidi Goldsmit,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We reviewed the policies below. Policy 121 will go to the JOC for the 1st reading on 5/5/25.</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numPr>
          <w:ilvl w:val="0"/>
          <w:numId w:val="2"/>
        </w:numPr>
        <w:ind w:left="720" w:hanging="360"/>
        <w:jc w:val="left"/>
        <w:rPr/>
      </w:pPr>
      <w:r w:rsidDel="00000000" w:rsidR="00000000" w:rsidRPr="00000000">
        <w:rPr>
          <w:rtl w:val="0"/>
        </w:rPr>
        <w:t xml:space="preserve">Policy 110 </w:t>
      </w:r>
    </w:p>
    <w:p w:rsidR="00000000" w:rsidDel="00000000" w:rsidP="00000000" w:rsidRDefault="00000000" w:rsidRPr="00000000" w14:paraId="0000000E">
      <w:pPr>
        <w:numPr>
          <w:ilvl w:val="0"/>
          <w:numId w:val="2"/>
        </w:numPr>
        <w:ind w:left="720" w:hanging="360"/>
        <w:jc w:val="left"/>
        <w:rPr/>
      </w:pPr>
      <w:r w:rsidDel="00000000" w:rsidR="00000000" w:rsidRPr="00000000">
        <w:rPr>
          <w:rtl w:val="0"/>
        </w:rPr>
        <w:t xml:space="preserve">Policy 121  </w:t>
      </w:r>
    </w:p>
    <w:p w:rsidR="00000000" w:rsidDel="00000000" w:rsidP="00000000" w:rsidRDefault="00000000" w:rsidRPr="00000000" w14:paraId="0000000F">
      <w:pPr>
        <w:ind w:left="0" w:firstLine="0"/>
        <w:jc w:val="left"/>
        <w:rPr/>
      </w:pPr>
      <w:r w:rsidDel="00000000" w:rsidR="00000000" w:rsidRPr="00000000">
        <w:rPr>
          <w:rtl w:val="0"/>
        </w:rPr>
      </w:r>
    </w:p>
    <w:p w:rsidR="00000000" w:rsidDel="00000000" w:rsidP="00000000" w:rsidRDefault="00000000" w:rsidRPr="00000000" w14:paraId="00000010">
      <w:pPr>
        <w:ind w:left="720" w:firstLine="0"/>
        <w:jc w:val="left"/>
        <w:rPr/>
      </w:pPr>
      <w:r w:rsidDel="00000000" w:rsidR="00000000" w:rsidRPr="00000000">
        <w:rPr>
          <w:rtl w:val="0"/>
        </w:rPr>
      </w:r>
    </w:p>
    <w:p w:rsidR="00000000" w:rsidDel="00000000" w:rsidP="00000000" w:rsidRDefault="00000000" w:rsidRPr="00000000" w14:paraId="00000011">
      <w:pPr>
        <w:ind w:left="0" w:firstLine="0"/>
        <w:jc w:val="left"/>
        <w:rPr/>
      </w:pPr>
      <w:r w:rsidDel="00000000" w:rsidR="00000000" w:rsidRPr="00000000">
        <w:rPr>
          <w:rtl w:val="0"/>
        </w:rPr>
        <w:t xml:space="preserve">The lawyer reviewed the following policies, and we briefly showed one to show some comments that were made, but decided that we would wait until Heidi was present to review these since she is an expert in this area.</w:t>
      </w:r>
    </w:p>
    <w:p w:rsidR="00000000" w:rsidDel="00000000" w:rsidP="00000000" w:rsidRDefault="00000000" w:rsidRPr="00000000" w14:paraId="00000012">
      <w:pPr>
        <w:ind w:left="0" w:firstLine="0"/>
        <w:jc w:val="left"/>
        <w:rPr/>
      </w:pPr>
      <w:r w:rsidDel="00000000" w:rsidR="00000000" w:rsidRPr="00000000">
        <w:rPr>
          <w:rtl w:val="0"/>
        </w:rPr>
      </w:r>
    </w:p>
    <w:p w:rsidR="00000000" w:rsidDel="00000000" w:rsidP="00000000" w:rsidRDefault="00000000" w:rsidRPr="00000000" w14:paraId="00000013">
      <w:pPr>
        <w:numPr>
          <w:ilvl w:val="0"/>
          <w:numId w:val="1"/>
        </w:numPr>
        <w:ind w:left="720" w:hanging="360"/>
        <w:jc w:val="left"/>
        <w:rPr>
          <w:u w:val="none"/>
        </w:rPr>
      </w:pPr>
      <w:r w:rsidDel="00000000" w:rsidR="00000000" w:rsidRPr="00000000">
        <w:rPr>
          <w:rtl w:val="0"/>
        </w:rPr>
        <w:t xml:space="preserve">Policy 113</w:t>
      </w:r>
      <w:r w:rsidDel="00000000" w:rsidR="00000000" w:rsidRPr="00000000">
        <w:rPr>
          <w:rtl w:val="0"/>
        </w:rPr>
      </w:r>
    </w:p>
    <w:p w:rsidR="00000000" w:rsidDel="00000000" w:rsidP="00000000" w:rsidRDefault="00000000" w:rsidRPr="00000000" w14:paraId="00000014">
      <w:pPr>
        <w:numPr>
          <w:ilvl w:val="0"/>
          <w:numId w:val="1"/>
        </w:numPr>
        <w:ind w:left="720" w:hanging="360"/>
        <w:jc w:val="left"/>
        <w:rPr>
          <w:u w:val="none"/>
        </w:rPr>
      </w:pPr>
      <w:r w:rsidDel="00000000" w:rsidR="00000000" w:rsidRPr="00000000">
        <w:rPr>
          <w:rtl w:val="0"/>
        </w:rPr>
        <w:t xml:space="preserve">Policy 113.1</w:t>
      </w:r>
      <w:r w:rsidDel="00000000" w:rsidR="00000000" w:rsidRPr="00000000">
        <w:rPr>
          <w:rtl w:val="0"/>
        </w:rPr>
      </w:r>
    </w:p>
    <w:p w:rsidR="00000000" w:rsidDel="00000000" w:rsidP="00000000" w:rsidRDefault="00000000" w:rsidRPr="00000000" w14:paraId="00000015">
      <w:pPr>
        <w:numPr>
          <w:ilvl w:val="0"/>
          <w:numId w:val="1"/>
        </w:numPr>
        <w:ind w:left="720" w:hanging="360"/>
        <w:jc w:val="left"/>
        <w:rPr>
          <w:u w:val="none"/>
        </w:rPr>
      </w:pPr>
      <w:r w:rsidDel="00000000" w:rsidR="00000000" w:rsidRPr="00000000">
        <w:rPr>
          <w:rtl w:val="0"/>
        </w:rPr>
        <w:t xml:space="preserve">Policy 113.2</w:t>
      </w:r>
      <w:r w:rsidDel="00000000" w:rsidR="00000000" w:rsidRPr="00000000">
        <w:rPr>
          <w:rtl w:val="0"/>
        </w:rPr>
      </w:r>
    </w:p>
    <w:p w:rsidR="00000000" w:rsidDel="00000000" w:rsidP="00000000" w:rsidRDefault="00000000" w:rsidRPr="00000000" w14:paraId="00000016">
      <w:pPr>
        <w:numPr>
          <w:ilvl w:val="0"/>
          <w:numId w:val="1"/>
        </w:numPr>
        <w:ind w:left="720" w:hanging="360"/>
        <w:jc w:val="left"/>
        <w:rPr>
          <w:u w:val="none"/>
        </w:rPr>
      </w:pPr>
      <w:r w:rsidDel="00000000" w:rsidR="00000000" w:rsidRPr="00000000">
        <w:rPr>
          <w:rtl w:val="0"/>
        </w:rPr>
        <w:t xml:space="preserve">Policy 113..3</w:t>
      </w:r>
    </w:p>
    <w:p w:rsidR="00000000" w:rsidDel="00000000" w:rsidP="00000000" w:rsidRDefault="00000000" w:rsidRPr="00000000" w14:paraId="00000017">
      <w:pPr>
        <w:jc w:val="left"/>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t xml:space="preserve">The committee agreed that the following policies will be taken to the JOC meeting for the 2nd reading.</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numPr>
          <w:ilvl w:val="0"/>
          <w:numId w:val="2"/>
        </w:numPr>
        <w:ind w:left="720" w:hanging="360"/>
        <w:jc w:val="left"/>
      </w:pPr>
      <w:r w:rsidDel="00000000" w:rsidR="00000000" w:rsidRPr="00000000">
        <w:rPr>
          <w:rtl w:val="0"/>
        </w:rPr>
        <w:t xml:space="preserve">Policy 102</w:t>
      </w:r>
    </w:p>
    <w:p w:rsidR="00000000" w:rsidDel="00000000" w:rsidP="00000000" w:rsidRDefault="00000000" w:rsidRPr="00000000" w14:paraId="0000001B">
      <w:pPr>
        <w:numPr>
          <w:ilvl w:val="0"/>
          <w:numId w:val="2"/>
        </w:numPr>
        <w:ind w:left="720" w:hanging="360"/>
        <w:jc w:val="left"/>
      </w:pPr>
      <w:r w:rsidDel="00000000" w:rsidR="00000000" w:rsidRPr="00000000">
        <w:rPr>
          <w:rtl w:val="0"/>
        </w:rPr>
        <w:t xml:space="preserve">Policy 105 </w:t>
      </w:r>
    </w:p>
    <w:p w:rsidR="00000000" w:rsidDel="00000000" w:rsidP="00000000" w:rsidRDefault="00000000" w:rsidRPr="00000000" w14:paraId="0000001C">
      <w:pPr>
        <w:numPr>
          <w:ilvl w:val="0"/>
          <w:numId w:val="2"/>
        </w:numPr>
        <w:ind w:left="720" w:hanging="360"/>
        <w:jc w:val="left"/>
      </w:pPr>
      <w:r w:rsidDel="00000000" w:rsidR="00000000" w:rsidRPr="00000000">
        <w:rPr>
          <w:rtl w:val="0"/>
        </w:rPr>
        <w:t xml:space="preserve">Policy 105.1 </w:t>
      </w:r>
    </w:p>
    <w:p w:rsidR="00000000" w:rsidDel="00000000" w:rsidP="00000000" w:rsidRDefault="00000000" w:rsidRPr="00000000" w14:paraId="0000001D">
      <w:pPr>
        <w:numPr>
          <w:ilvl w:val="0"/>
          <w:numId w:val="2"/>
        </w:numPr>
        <w:ind w:left="720" w:hanging="360"/>
        <w:jc w:val="left"/>
      </w:pPr>
      <w:r w:rsidDel="00000000" w:rsidR="00000000" w:rsidRPr="00000000">
        <w:rPr>
          <w:rtl w:val="0"/>
        </w:rPr>
        <w:t xml:space="preserve">Policy 105.2</w:t>
      </w:r>
    </w:p>
    <w:p w:rsidR="00000000" w:rsidDel="00000000" w:rsidP="00000000" w:rsidRDefault="00000000" w:rsidRPr="00000000" w14:paraId="0000001E">
      <w:pPr>
        <w:numPr>
          <w:ilvl w:val="0"/>
          <w:numId w:val="2"/>
        </w:numPr>
        <w:ind w:left="720" w:hanging="360"/>
        <w:jc w:val="left"/>
      </w:pPr>
      <w:r w:rsidDel="00000000" w:rsidR="00000000" w:rsidRPr="00000000">
        <w:rPr>
          <w:rtl w:val="0"/>
        </w:rPr>
        <w:t xml:space="preserve">Policy 110 </w:t>
      </w:r>
    </w:p>
    <w:p w:rsidR="00000000" w:rsidDel="00000000" w:rsidP="00000000" w:rsidRDefault="00000000" w:rsidRPr="00000000" w14:paraId="0000001F">
      <w:pPr>
        <w:numPr>
          <w:ilvl w:val="0"/>
          <w:numId w:val="2"/>
        </w:numPr>
        <w:ind w:left="720" w:hanging="360"/>
        <w:jc w:val="left"/>
      </w:pPr>
      <w:r w:rsidDel="00000000" w:rsidR="00000000" w:rsidRPr="00000000">
        <w:rPr>
          <w:rtl w:val="0"/>
        </w:rPr>
        <w:t xml:space="preserve">Policy 115</w:t>
      </w:r>
    </w:p>
    <w:p w:rsidR="00000000" w:rsidDel="00000000" w:rsidP="00000000" w:rsidRDefault="00000000" w:rsidRPr="00000000" w14:paraId="00000020">
      <w:pPr>
        <w:numPr>
          <w:ilvl w:val="0"/>
          <w:numId w:val="2"/>
        </w:numPr>
        <w:ind w:left="720" w:hanging="360"/>
        <w:jc w:val="left"/>
      </w:pPr>
      <w:r w:rsidDel="00000000" w:rsidR="00000000" w:rsidRPr="00000000">
        <w:rPr>
          <w:rtl w:val="0"/>
        </w:rPr>
        <w:t xml:space="preserve">Policy 127 </w:t>
      </w:r>
    </w:p>
    <w:p w:rsidR="00000000" w:rsidDel="00000000" w:rsidP="00000000" w:rsidRDefault="00000000" w:rsidRPr="00000000" w14:paraId="00000021">
      <w:pPr>
        <w:numPr>
          <w:ilvl w:val="0"/>
          <w:numId w:val="2"/>
        </w:numPr>
        <w:ind w:left="720" w:hanging="360"/>
        <w:jc w:val="left"/>
      </w:pPr>
      <w:r w:rsidDel="00000000" w:rsidR="00000000" w:rsidRPr="00000000">
        <w:rPr>
          <w:rtl w:val="0"/>
        </w:rPr>
        <w:t xml:space="preserve">Policy 130 </w:t>
      </w:r>
    </w:p>
    <w:p w:rsidR="00000000" w:rsidDel="00000000" w:rsidP="00000000" w:rsidRDefault="00000000" w:rsidRPr="00000000" w14:paraId="00000022">
      <w:pPr>
        <w:numPr>
          <w:ilvl w:val="0"/>
          <w:numId w:val="2"/>
        </w:numPr>
        <w:ind w:left="720" w:hanging="360"/>
        <w:jc w:val="left"/>
      </w:pPr>
      <w:r w:rsidDel="00000000" w:rsidR="00000000" w:rsidRPr="00000000">
        <w:rPr>
          <w:rtl w:val="0"/>
        </w:rPr>
        <w:t xml:space="preserve">Policy 137.1 </w:t>
      </w:r>
    </w:p>
    <w:p w:rsidR="00000000" w:rsidDel="00000000" w:rsidP="00000000" w:rsidRDefault="00000000" w:rsidRPr="00000000" w14:paraId="00000023">
      <w:pPr>
        <w:numPr>
          <w:ilvl w:val="0"/>
          <w:numId w:val="2"/>
        </w:numPr>
        <w:ind w:left="720" w:hanging="360"/>
        <w:jc w:val="left"/>
      </w:pPr>
      <w:r w:rsidDel="00000000" w:rsidR="00000000" w:rsidRPr="00000000">
        <w:rPr>
          <w:rtl w:val="0"/>
        </w:rPr>
        <w:t xml:space="preserve">Policy 146  </w:t>
      </w:r>
    </w:p>
    <w:p w:rsidR="00000000" w:rsidDel="00000000" w:rsidP="00000000" w:rsidRDefault="00000000" w:rsidRPr="00000000" w14:paraId="00000024">
      <w:pPr>
        <w:numPr>
          <w:ilvl w:val="0"/>
          <w:numId w:val="1"/>
        </w:numPr>
        <w:ind w:left="720" w:hanging="360"/>
        <w:jc w:val="left"/>
      </w:pPr>
      <w:r w:rsidDel="00000000" w:rsidR="00000000" w:rsidRPr="00000000">
        <w:rPr>
          <w:rtl w:val="0"/>
        </w:rPr>
        <w:t xml:space="preserve">Policy 146.1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909FE"/>
    <w:pPr>
      <w:keepNext w:val="1"/>
      <w:keepLines w:val="1"/>
      <w:spacing w:after="80" w:before="360"/>
      <w:outlineLvl w:val="0"/>
    </w:pPr>
    <w:rPr>
      <w:rFonts w:asciiTheme="majorHAnsi" w:cstheme="majorBidi" w:eastAsiaTheme="majorEastAsia" w:hAnsiTheme="majorHAnsi"/>
      <w:color w:val="2e74b5" w:themeColor="accent1" w:themeShade="0000BF"/>
      <w:sz w:val="40"/>
      <w:szCs w:val="40"/>
    </w:rPr>
  </w:style>
  <w:style w:type="paragraph" w:styleId="Heading2">
    <w:name w:val="heading 2"/>
    <w:basedOn w:val="Normal"/>
    <w:next w:val="Normal"/>
    <w:link w:val="Heading2Char"/>
    <w:uiPriority w:val="9"/>
    <w:semiHidden w:val="1"/>
    <w:unhideWhenUsed w:val="1"/>
    <w:qFormat w:val="1"/>
    <w:rsid w:val="009909FE"/>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semiHidden w:val="1"/>
    <w:unhideWhenUsed w:val="1"/>
    <w:qFormat w:val="1"/>
    <w:rsid w:val="009909FE"/>
    <w:pPr>
      <w:keepNext w:val="1"/>
      <w:keepLines w:val="1"/>
      <w:spacing w:after="80" w:before="160"/>
      <w:outlineLvl w:val="2"/>
    </w:pPr>
    <w:rPr>
      <w:rFonts w:cstheme="majorBidi" w:eastAsiaTheme="majorEastAsia"/>
      <w:color w:val="2e74b5" w:themeColor="accent1" w:themeShade="0000BF"/>
      <w:sz w:val="28"/>
      <w:szCs w:val="28"/>
    </w:rPr>
  </w:style>
  <w:style w:type="paragraph" w:styleId="Heading4">
    <w:name w:val="heading 4"/>
    <w:basedOn w:val="Normal"/>
    <w:next w:val="Normal"/>
    <w:link w:val="Heading4Char"/>
    <w:uiPriority w:val="9"/>
    <w:semiHidden w:val="1"/>
    <w:unhideWhenUsed w:val="1"/>
    <w:qFormat w:val="1"/>
    <w:rsid w:val="009909FE"/>
    <w:pPr>
      <w:keepNext w:val="1"/>
      <w:keepLines w:val="1"/>
      <w:spacing w:after="40" w:before="80"/>
      <w:outlineLvl w:val="3"/>
    </w:pPr>
    <w:rPr>
      <w:rFonts w:cstheme="majorBidi" w:eastAsiaTheme="majorEastAsia"/>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9909FE"/>
    <w:pPr>
      <w:keepNext w:val="1"/>
      <w:keepLines w:val="1"/>
      <w:spacing w:after="40" w:before="80"/>
      <w:outlineLvl w:val="4"/>
    </w:pPr>
    <w:rPr>
      <w:rFonts w:cstheme="majorBidi" w:eastAsiaTheme="majorEastAsia"/>
      <w:color w:val="2e74b5" w:themeColor="accent1" w:themeShade="0000BF"/>
    </w:rPr>
  </w:style>
  <w:style w:type="paragraph" w:styleId="Heading6">
    <w:name w:val="heading 6"/>
    <w:basedOn w:val="Normal"/>
    <w:next w:val="Normal"/>
    <w:link w:val="Heading6Char"/>
    <w:uiPriority w:val="9"/>
    <w:semiHidden w:val="1"/>
    <w:unhideWhenUsed w:val="1"/>
    <w:qFormat w:val="1"/>
    <w:rsid w:val="009909F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909F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909F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909F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909FE"/>
    <w:rPr>
      <w:rFonts w:asciiTheme="majorHAnsi" w:cstheme="majorBidi" w:eastAsiaTheme="majorEastAsia" w:hAnsiTheme="majorHAnsi"/>
      <w:color w:val="2e74b5" w:themeColor="accent1" w:themeShade="0000BF"/>
      <w:sz w:val="40"/>
      <w:szCs w:val="40"/>
    </w:rPr>
  </w:style>
  <w:style w:type="character" w:styleId="Heading2Char" w:customStyle="1">
    <w:name w:val="Heading 2 Char"/>
    <w:basedOn w:val="DefaultParagraphFont"/>
    <w:link w:val="Heading2"/>
    <w:uiPriority w:val="9"/>
    <w:semiHidden w:val="1"/>
    <w:rsid w:val="009909FE"/>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semiHidden w:val="1"/>
    <w:rsid w:val="009909FE"/>
    <w:rPr>
      <w:rFonts w:cstheme="majorBidi" w:eastAsiaTheme="majorEastAsia"/>
      <w:color w:val="2e74b5" w:themeColor="accent1" w:themeShade="0000BF"/>
      <w:sz w:val="28"/>
      <w:szCs w:val="28"/>
    </w:rPr>
  </w:style>
  <w:style w:type="character" w:styleId="Heading4Char" w:customStyle="1">
    <w:name w:val="Heading 4 Char"/>
    <w:basedOn w:val="DefaultParagraphFont"/>
    <w:link w:val="Heading4"/>
    <w:uiPriority w:val="9"/>
    <w:semiHidden w:val="1"/>
    <w:rsid w:val="009909FE"/>
    <w:rPr>
      <w:rFonts w:cstheme="majorBidi" w:eastAsiaTheme="majorEastAsia"/>
      <w:i w:val="1"/>
      <w:iCs w:val="1"/>
      <w:color w:val="2e74b5" w:themeColor="accent1" w:themeShade="0000BF"/>
    </w:rPr>
  </w:style>
  <w:style w:type="character" w:styleId="Heading5Char" w:customStyle="1">
    <w:name w:val="Heading 5 Char"/>
    <w:basedOn w:val="DefaultParagraphFont"/>
    <w:link w:val="Heading5"/>
    <w:uiPriority w:val="9"/>
    <w:semiHidden w:val="1"/>
    <w:rsid w:val="009909FE"/>
    <w:rPr>
      <w:rFonts w:cstheme="majorBidi" w:eastAsiaTheme="majorEastAsia"/>
      <w:color w:val="2e74b5" w:themeColor="accent1" w:themeShade="0000BF"/>
    </w:rPr>
  </w:style>
  <w:style w:type="character" w:styleId="Heading6Char" w:customStyle="1">
    <w:name w:val="Heading 6 Char"/>
    <w:basedOn w:val="DefaultParagraphFont"/>
    <w:link w:val="Heading6"/>
    <w:uiPriority w:val="9"/>
    <w:semiHidden w:val="1"/>
    <w:rsid w:val="009909F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909F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909F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909F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909F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909F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909F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909F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909FE"/>
    <w:pPr>
      <w:spacing w:after="160" w:before="160"/>
    </w:pPr>
    <w:rPr>
      <w:i w:val="1"/>
      <w:iCs w:val="1"/>
      <w:color w:val="404040" w:themeColor="text1" w:themeTint="0000BF"/>
    </w:rPr>
  </w:style>
  <w:style w:type="character" w:styleId="QuoteChar" w:customStyle="1">
    <w:name w:val="Quote Char"/>
    <w:basedOn w:val="DefaultParagraphFont"/>
    <w:link w:val="Quote"/>
    <w:uiPriority w:val="29"/>
    <w:rsid w:val="009909FE"/>
    <w:rPr>
      <w:i w:val="1"/>
      <w:iCs w:val="1"/>
      <w:color w:val="404040" w:themeColor="text1" w:themeTint="0000BF"/>
    </w:rPr>
  </w:style>
  <w:style w:type="paragraph" w:styleId="ListParagraph">
    <w:name w:val="List Paragraph"/>
    <w:basedOn w:val="Normal"/>
    <w:uiPriority w:val="34"/>
    <w:qFormat w:val="1"/>
    <w:rsid w:val="009909FE"/>
    <w:pPr>
      <w:ind w:left="720"/>
      <w:contextualSpacing w:val="1"/>
    </w:pPr>
  </w:style>
  <w:style w:type="character" w:styleId="IntenseEmphasis">
    <w:name w:val="Intense Emphasis"/>
    <w:basedOn w:val="DefaultParagraphFont"/>
    <w:uiPriority w:val="21"/>
    <w:qFormat w:val="1"/>
    <w:rsid w:val="009909FE"/>
    <w:rPr>
      <w:i w:val="1"/>
      <w:iCs w:val="1"/>
      <w:color w:val="2e74b5" w:themeColor="accent1" w:themeShade="0000BF"/>
    </w:rPr>
  </w:style>
  <w:style w:type="paragraph" w:styleId="IntenseQuote">
    <w:name w:val="Intense Quote"/>
    <w:basedOn w:val="Normal"/>
    <w:next w:val="Normal"/>
    <w:link w:val="IntenseQuoteChar"/>
    <w:uiPriority w:val="30"/>
    <w:qFormat w:val="1"/>
    <w:rsid w:val="009909FE"/>
    <w:pPr>
      <w:pBdr>
        <w:top w:color="2e74b5" w:space="10" w:sz="4" w:themeColor="accent1" w:themeShade="0000BF" w:val="single"/>
        <w:bottom w:color="2e74b5" w:space="10" w:sz="4" w:themeColor="accent1" w:themeShade="0000BF" w:val="single"/>
      </w:pBdr>
      <w:spacing w:after="360" w:before="360"/>
      <w:ind w:left="864" w:right="864"/>
    </w:pPr>
    <w:rPr>
      <w:i w:val="1"/>
      <w:iCs w:val="1"/>
      <w:color w:val="2e74b5" w:themeColor="accent1" w:themeShade="0000BF"/>
    </w:rPr>
  </w:style>
  <w:style w:type="character" w:styleId="IntenseQuoteChar" w:customStyle="1">
    <w:name w:val="Intense Quote Char"/>
    <w:basedOn w:val="DefaultParagraphFont"/>
    <w:link w:val="IntenseQuote"/>
    <w:uiPriority w:val="30"/>
    <w:rsid w:val="009909FE"/>
    <w:rPr>
      <w:i w:val="1"/>
      <w:iCs w:val="1"/>
      <w:color w:val="2e74b5" w:themeColor="accent1" w:themeShade="0000BF"/>
    </w:rPr>
  </w:style>
  <w:style w:type="character" w:styleId="IntenseReference">
    <w:name w:val="Intense Reference"/>
    <w:basedOn w:val="DefaultParagraphFont"/>
    <w:uiPriority w:val="32"/>
    <w:qFormat w:val="1"/>
    <w:rsid w:val="009909FE"/>
    <w:rPr>
      <w:b w:val="1"/>
      <w:bCs w:val="1"/>
      <w:smallCaps w:val="1"/>
      <w:color w:val="2e74b5" w:themeColor="accent1" w:themeShade="0000BF"/>
      <w:spacing w:val="5"/>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mRew2uXDe0Q41jQRSdgRI0cBw==">CgMxLjA4AHIhMTVlcmpNR0xpNkpISkt1ajNmRU1wWEZEaWd4eGhCLU1Z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2025-01-30T13:49:00Z</dcterms:created>
  <dc:creator>Wendy Sigourney</dc:creator>
</cp:coreProperties>
</file>